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E5AB" w14:textId="77777777" w:rsidR="006E6E9B" w:rsidRPr="00C30CFE" w:rsidRDefault="006E6E9B" w:rsidP="00C30C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Дәріс 1 Мемлекеттік дағдарысқа қарсы басқару жүйесінің ғылыми негіздері</w:t>
      </w:r>
    </w:p>
    <w:p w14:paraId="63F6CB67" w14:textId="77777777" w:rsidR="006E6E9B" w:rsidRPr="00C30CFE" w:rsidRDefault="006E6E9B" w:rsidP="00C30C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0DE6190B" w14:textId="77777777" w:rsidR="006E6E9B" w:rsidRPr="00C30CFE" w:rsidRDefault="006E6E9B" w:rsidP="00C30CFE">
      <w:pPr>
        <w:pStyle w:val="a7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4F5B80AE" w14:textId="77777777" w:rsidR="006E6E9B" w:rsidRPr="00C30CFE" w:rsidRDefault="006E6E9B" w:rsidP="00C30CFE">
      <w:pPr>
        <w:pStyle w:val="a7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Дағдарысқа қарсы басқару жүйесінің ерекшеліктері</w:t>
      </w:r>
    </w:p>
    <w:p w14:paraId="04646A35" w14:textId="2DE2AD40" w:rsidR="006E6E9B" w:rsidRPr="00C30CFE" w:rsidRDefault="00C30CFE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Бүгінгі таңда әлеуметтік-экономикалық жүйедегі дағдарыс терминіне</w:t>
      </w:r>
    </w:p>
    <w:p w14:paraId="1B4B225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әдебиеттерде ортақ түсінік пен анықтама қалыптаспаған. Дағдарыс тек</w:t>
      </w:r>
    </w:p>
    <w:p w14:paraId="2C700D3D" w14:textId="0C7B106A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капиталистік ӛндіріс тәсіліне ғана тән құбылыс және социалистік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ндірісте</w:t>
      </w:r>
    </w:p>
    <w:p w14:paraId="3504334E" w14:textId="1C23823E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болмауы тиіс деген тұрмыстық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зқарас та бар.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п жылдары біздің елімізде бұл түсінік,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 дамуындағы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саясатты қалыптастырудың нақты факторы емес, тек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идеологиялық тұрғыда болды.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Енді бір пікір бойынша, бұл тек макроэкономикалық даму процесіне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қатысты, ал кәсіпорын немесе ұйым деңгейінде тек басқарудағы қателіктермен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немесе басшылардың кәсіби деңгейінің т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мендігінен туындайтын үлкен немесе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кішігірім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 мәселелердің болуы деп түсіндіріледі. Бұндай мәселелер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дамуын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рсетпейді, олар объективті тенденциялардан туындамаған,</w:t>
      </w:r>
    </w:p>
    <w:p w14:paraId="7D31191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бірақ кейбір сыртқы әсерлерге байланысты болуы мүмкін.</w:t>
      </w:r>
    </w:p>
    <w:p w14:paraId="5F9D6F4F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Мұндай ұсынымдар бір жақты және ұйымды басқаруда жағымсыз әсер</w:t>
      </w:r>
    </w:p>
    <w:p w14:paraId="46059C8D" w14:textId="4278003A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қалдыруы мүмкін. Егер осы позициямен фирмаішілік басқаруды қарастыратын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болсақ, даму стратегиясын құрастырғанда дағдарысты кӛре білу мен оның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мүмкіндіктерін ескерусіз мүмкін емес.</w:t>
      </w:r>
    </w:p>
    <w:p w14:paraId="60539BBF" w14:textId="6DC7F20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«Дағдарыс» түсінігі «тәуекел» түсінігімен тығыз байланысты.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 кезегінде</w:t>
      </w:r>
    </w:p>
    <w:p w14:paraId="028AD604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ол барлық басқару шешімдерін жасау методологиясына әсер етеді. Бұдан</w:t>
      </w:r>
    </w:p>
    <w:p w14:paraId="234112F3" w14:textId="6173BD69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дағдарыс күтімін алыптастасаңыз, тәуекелдік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ткірлігі жоғалады да дағдарыс</w:t>
      </w:r>
    </w:p>
    <w:p w14:paraId="1280B04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жағдайы күрделене түседі.</w:t>
      </w:r>
    </w:p>
    <w:p w14:paraId="6DF8310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– бұл әлеуметтік-экономикалық жүйеде (ұйымда) оның</w:t>
      </w:r>
    </w:p>
    <w:p w14:paraId="657E603D" w14:textId="665BA536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ортадағы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міршеңдігіне қауіп т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ндіретін қайшылықтардың</w:t>
      </w:r>
    </w:p>
    <w:p w14:paraId="3C3EFE1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айтарлықтай шиеленісе түсуі.</w:t>
      </w:r>
    </w:p>
    <w:p w14:paraId="57A5C05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себептері:</w:t>
      </w:r>
    </w:p>
    <w:p w14:paraId="0CCFE415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1) жаңғырту мен қайта құрылымдаудың циклдік қажеттіліктеріне</w:t>
      </w:r>
    </w:p>
    <w:p w14:paraId="1E6DA86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байланысты объективті;</w:t>
      </w:r>
    </w:p>
    <w:p w14:paraId="6FE19EA0" w14:textId="33A9619C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2) басқарудағы қателіктер мен волюнтаризмдерді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рсететін субъективті;</w:t>
      </w:r>
    </w:p>
    <w:p w14:paraId="3D8F56F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3) климаттың ерекшеліктерімен, жер сілкіністерімен және басқа да</w:t>
      </w:r>
    </w:p>
    <w:p w14:paraId="3F07F88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себептері сыртқы және ішкі болуы мүмкін. Мысалы, фирма үшін</w:t>
      </w:r>
    </w:p>
    <w:p w14:paraId="2FD53E3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сыртқы себептері макроэкономикалық дамудың немесе тіпті</w:t>
      </w:r>
    </w:p>
    <w:p w14:paraId="22C167A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әлемдік экономиканың дамуының үрдістері мен стратегияларымен,</w:t>
      </w:r>
    </w:p>
    <w:p w14:paraId="2640D634" w14:textId="536B8F2B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бәсекелестікпен, елдегі саяси жағдайлармен, ал ішкі себептер – маркетингтің</w:t>
      </w:r>
    </w:p>
    <w:p w14:paraId="20666308" w14:textId="65CAB7BD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тәуекелдік стратегияларымен, ішкі жанжалдармен,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ндірісті ұйымдастырудың</w:t>
      </w:r>
    </w:p>
    <w:p w14:paraId="12F1F117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кемшіліктерімен, басқарудың жетілмегендігімен, инновациялық және</w:t>
      </w:r>
    </w:p>
    <w:p w14:paraId="66BAC84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инвестициялық саясатпен байланысты болуы мүмкін.</w:t>
      </w:r>
    </w:p>
    <w:p w14:paraId="26A1821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Егер дағдарысты осылай түсінетін болсақ, дағдарыстың пайда болу қаупі</w:t>
      </w:r>
    </w:p>
    <w:p w14:paraId="1D0783D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бар екенін, оны алдын ала болжау қажет екенін айтуға болады. Дағдарысты</w:t>
      </w:r>
    </w:p>
    <w:p w14:paraId="4459BBC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түсінуде оның себептері ғана емес, салдары да үлкен маңызға ие: ұйымның</w:t>
      </w:r>
    </w:p>
    <w:p w14:paraId="41849D2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жаңаруы немесе оның құлдырауы, сауығуы немесе жаңа дағдарыстың пайда</w:t>
      </w:r>
    </w:p>
    <w:p w14:paraId="178CAF7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болуы мүмкін, тіпті дағдарыс дұрынғыдан да терең және ұзақ болуы мүмкін.</w:t>
      </w:r>
    </w:p>
    <w:p w14:paraId="0B333B3A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 тізбекті реакция ретінде туындауы мүмкін.</w:t>
      </w:r>
    </w:p>
    <w:p w14:paraId="4773C3E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жағдайларын ұзақ уақытқа консервациялау мүмкіндігі бар. Бұл</w:t>
      </w:r>
    </w:p>
    <w:p w14:paraId="3F2EAE9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белгілі бір саяси себептермен түсіндірілуі мүмкін.</w:t>
      </w:r>
    </w:p>
    <w:p w14:paraId="7CEB8EA5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салдары екі факторға тығыз байланысты: олардың себептері</w:t>
      </w:r>
    </w:p>
    <w:p w14:paraId="73CC42F4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және дағдарыстық даму процестерін басқару мүмкіндігі.</w:t>
      </w:r>
    </w:p>
    <w:p w14:paraId="7E3183F2" w14:textId="3576F8F0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Дағдарыстың салдары күрт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згерістерге немесе одан жұмсақ, ұзақ және</w:t>
      </w:r>
    </w:p>
    <w:p w14:paraId="4C9FDE1D" w14:textId="1167ADB2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дәйекті шығуға әкелуі мүмкін. Ұйымның дамуындағы дағдарыстық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згерістер</w:t>
      </w:r>
    </w:p>
    <w:p w14:paraId="2C18DA7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ұзақ мерзімді және қысқа мерзімді, сапалық және сандық, қайтымды және</w:t>
      </w:r>
    </w:p>
    <w:p w14:paraId="508228E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қайтымсыз болады.</w:t>
      </w:r>
    </w:p>
    <w:p w14:paraId="2C68E53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әртүрлі салдары оның сипатымен ғана емес, дағдарысты</w:t>
      </w:r>
    </w:p>
    <w:p w14:paraId="4F2D3B27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жеңілдететін немесе шиеленістейтін дағдарысқа қарсы басқарудың сипатымен</w:t>
      </w:r>
    </w:p>
    <w:p w14:paraId="1543236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де айқындалады. Бұл тұрғыда басқару мүмкіндіктері басқару мақсатына,</w:t>
      </w:r>
    </w:p>
    <w:p w14:paraId="4BB2174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кәсібилігіне, ӛнеріне, мотивация сипатына, себептері мен салдарын түсінуге,</w:t>
      </w:r>
    </w:p>
    <w:p w14:paraId="0A332DF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жауапкершілікке байланысты.</w:t>
      </w:r>
    </w:p>
    <w:p w14:paraId="6D7D8433" w14:textId="77777777" w:rsidR="00C30CFE" w:rsidRDefault="00C30CFE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767720" w14:textId="410EBD35" w:rsidR="006E6E9B" w:rsidRPr="00C30CFE" w:rsidRDefault="006E6E9B" w:rsidP="00C3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Дағдарыс типологиясы мен оның белгілері</w:t>
      </w:r>
    </w:p>
    <w:p w14:paraId="23C4FB24" w14:textId="14EDBE1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Тәжірибе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рсеткендей, дағдарыстар тек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 себептері мен салдары</w:t>
      </w:r>
    </w:p>
    <w:p w14:paraId="56E358D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бойынша ғана емес, сондай-ақ мәні бойынша да ерекшеленеді.</w:t>
      </w:r>
    </w:p>
    <w:p w14:paraId="6AD4E66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Жалпы және жергілікті дағдарыстар бар. Жалпы барлық әлеуметтікэкономикалық жүйені, жергілікті / локальды – оның бір бӛлігін ғана қамтиды.</w:t>
      </w:r>
    </w:p>
    <w:p w14:paraId="04971E1D" w14:textId="2A837D1A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проблемасына байланысты макро - және микрокризистерді б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ліп</w:t>
      </w:r>
    </w:p>
    <w:p w14:paraId="346AF037" w14:textId="204A5585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рсетуге болады. Макрокризиске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 үлкен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лемде және проблематиканың</w:t>
      </w:r>
    </w:p>
    <w:p w14:paraId="058E31DF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ауқымы тән; ал микрокризис тек жеке проблеманы немесе проблемалар тобын</w:t>
      </w:r>
    </w:p>
    <w:p w14:paraId="3B1BDAD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қамтиды.</w:t>
      </w:r>
    </w:p>
    <w:p w14:paraId="36A7C8C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жүйедегі қатынастардың құрылымына, оның</w:t>
      </w:r>
    </w:p>
    <w:p w14:paraId="5DCEE74A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даму проблематикасының дифференциациясына байланысты дағдарыстардың</w:t>
      </w:r>
    </w:p>
    <w:p w14:paraId="658BF007" w14:textId="4C390C7D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келесідей жеке топтарын б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ліп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рсетуге болады.</w:t>
      </w:r>
    </w:p>
    <w:p w14:paraId="448416D5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дағдарыстар ел экономикасындағы немесе фирманың</w:t>
      </w:r>
    </w:p>
    <w:p w14:paraId="1A6CBE80" w14:textId="1CFC784E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жағдайындағы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 қайшылықтарды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рсетеді. Бұл тауар</w:t>
      </w:r>
    </w:p>
    <w:p w14:paraId="0A310EEC" w14:textId="7C7DB94D" w:rsidR="006E6E9B" w:rsidRPr="00C30CFE" w:rsidRDefault="00C30CFE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ндіру және сату дағдарысы, экономикалық агенттердің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зара қарым-қатынасы,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лем жасамау дағдарысы, бәсекелестік артықшылықтарды жоғалту,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банкроттық және т. б.</w:t>
      </w:r>
    </w:p>
    <w:p w14:paraId="1716373F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Әлеуметтік дағдарыстар әр түрлі әлеуметтік топтардың немесе</w:t>
      </w:r>
    </w:p>
    <w:p w14:paraId="4A52389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құрылымдардың: қызметкерлер мен жұмыс берушілердің, кәсіподақтар мен</w:t>
      </w:r>
    </w:p>
    <w:p w14:paraId="4F52B8E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кәсіпкерлердің, әр түрлі кәсіптегі қызметкерлердің, қызметкерлер мен</w:t>
      </w:r>
    </w:p>
    <w:p w14:paraId="338B3B0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менеджерлердің және т. б. мүдделерінің шиеленісуі немесе қақтығысы кезінде</w:t>
      </w:r>
    </w:p>
    <w:p w14:paraId="373F5D93" w14:textId="60948CF6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туындайды.Ұйымдастырушылық дағдарыстар қызметті б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лу және біріктіру,</w:t>
      </w:r>
    </w:p>
    <w:p w14:paraId="14F59C62" w14:textId="5343334B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функцияларды б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лу, әкімшілік бірліктердің, аймақтардың, филиалдардың</w:t>
      </w:r>
    </w:p>
    <w:p w14:paraId="2D7D161F" w14:textId="10BB571F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немесе еншілес фирмалардың бӛлімшесі ретінде жекелеген б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лімшелердің</w:t>
      </w:r>
    </w:p>
    <w:p w14:paraId="32C677C8" w14:textId="621CE5B2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қызметін регламенттеу дағдарысы ретінде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рінеді.</w:t>
      </w:r>
    </w:p>
    <w:p w14:paraId="02EE094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Психологиялық дағдарыс – адамның психологиялық жағдайының</w:t>
      </w:r>
    </w:p>
    <w:p w14:paraId="49F1A0E4" w14:textId="705B36C5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дағдарысы. Жаппай сипатқа ие болатын стресс, сенімсіздік, үрей, болашақ үшін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қорқыныш, жұмысқа және әлеуметтік жағдайға қанағаттанбау сезімдері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пайда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болады.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Технологиялық дағдарыстар жаңа технологияларға айқын қажеттілік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жағдайында жаңа технологиялық идеялардың дағдарысы ретінде туындайды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(бұйымдардың технологиялық үйлесімсіздігі дағдарысы, жаңа технологиялық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шешімдерді қабылдамау дағдарысы).</w:t>
      </w:r>
    </w:p>
    <w:p w14:paraId="55B61CE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Болжам бойынша дағдарыстар болжамды және күтпеген болуы мүмкін.</w:t>
      </w:r>
    </w:p>
    <w:p w14:paraId="467E933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Болжанатындар – даму кезеңі ретінде басталады, дағдарыстың пайда болу</w:t>
      </w:r>
    </w:p>
    <w:p w14:paraId="00E39183" w14:textId="21FE4C81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факторларын жинақтаудың объективті себептері-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ндірісті қайта құрылымдау</w:t>
      </w:r>
    </w:p>
    <w:p w14:paraId="3551F5DA" w14:textId="5D89830C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қажеттілігі, ҒТП ықпалымен мүдделер құрылымының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згеруі болжануы және</w:t>
      </w:r>
    </w:p>
    <w:p w14:paraId="24518CE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туындауы мүмкін. Күтпеген – жергілікті дағдарыстардың кеңеюі мен</w:t>
      </w:r>
    </w:p>
    <w:p w14:paraId="6798588B" w14:textId="51298EA5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таралуына ықпал ететін басқарудағы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рескел қателіктердің немесе қандай да</w:t>
      </w:r>
    </w:p>
    <w:p w14:paraId="708C32AF" w14:textId="42523312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бір табиғи құбылыстардың немесе экономикалық тәуелділіктің нәтижесі болыптабылады. Сондай-ақ, айқын (айтарлықтай және оңай анықталады) және</w:t>
      </w:r>
    </w:p>
    <w:p w14:paraId="4D81480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жасырын (жасырын, салыстырмалы түрде білінбейді, сондықтан ең қауіпті)</w:t>
      </w:r>
    </w:p>
    <w:p w14:paraId="5E819C38" w14:textId="19580DF5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 бар.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дағдарыстар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ткір және жұмсақ.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 дағдарыстар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жүйенің түрлі құрылымдарының бұзылуына жиі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алып келеді. Жұмсақ дағдарыстар дәйекті және ауыртпалықсыз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теді. Оларды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болжауға болады, оларды басқару оңай.</w:t>
      </w:r>
    </w:p>
    <w:p w14:paraId="2D53007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Дағдарыстардың жіктелуі оларды тануда, демек, оларды табысты</w:t>
      </w:r>
    </w:p>
    <w:p w14:paraId="6444985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басқаруда үлкен маңызға ие. Нақты дағдарыстың жіктемелік белгілері оның</w:t>
      </w:r>
    </w:p>
    <w:p w14:paraId="3694F84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«айтылатын» немесе жағдайды бағалау мен табысты басқару шешімдерін</w:t>
      </w:r>
    </w:p>
    <w:p w14:paraId="0C0692B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әзірлеу және таңдауды анықтайтын параметрлері ретінде қаралуы мүмкін.</w:t>
      </w:r>
    </w:p>
    <w:p w14:paraId="733844A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қаупі әрқашан бар. Сондықтан дағдарыстық жағдайлардың пайда</w:t>
      </w:r>
    </w:p>
    <w:p w14:paraId="50AEE5BB" w14:textId="6E13C5A3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болу белгілерін білу және оларды шешу мүмкіндігін бағалау 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 маңызды.</w:t>
      </w:r>
    </w:p>
    <w:p w14:paraId="60B004C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 жеңу – басқарылатын процесс. Бұл туралы адамзаттың,</w:t>
      </w:r>
    </w:p>
    <w:p w14:paraId="5BB4624B" w14:textId="4F57C3D7" w:rsidR="006E6E9B" w:rsidRPr="00C30CFE" w:rsidRDefault="00C30CFE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ндіріс пен экономиканың даму тарихында болған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птеген дағдарыстар</w:t>
      </w:r>
    </w:p>
    <w:p w14:paraId="322BB7D4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куәландырады. Басқарудың табысы дағдарысты дер кезінде тануға, оның</w:t>
      </w:r>
    </w:p>
    <w:p w14:paraId="52381F0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басталу белгілеріне байланысты. Дағдарыс белгілері ең алдымен оның</w:t>
      </w:r>
    </w:p>
    <w:p w14:paraId="4E0B0F4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типологиялық тиістілігіне қарай сараланады: ауқымы, проблематикасы,</w:t>
      </w:r>
    </w:p>
    <w:p w14:paraId="5FB2C14B" w14:textId="0004DD65" w:rsidR="006E6E9B" w:rsidRPr="00C30CFE" w:rsidRDefault="00C30CFE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ткірлігі, даму саласы, себептері, ықтимал салдары,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ріну фазасы. Дағдарысты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тануда проблемалардың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зара байланысын бағалау үлкен маңызға ие. Мұндай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зара байланыстың болуы мен сипаты дағдарыстың қаупі туралы және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сипаты туралы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п нәрсе айта алады.</w:t>
      </w:r>
    </w:p>
    <w:p w14:paraId="67AE494A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Дағдарыстарды болжау жағдай мен үрдістерді арнайы талдау негізінде</w:t>
      </w:r>
    </w:p>
    <w:p w14:paraId="243E7D11" w14:textId="162D6C6F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ғана мүмкін болады. Тану басқарудағы қолданыстағы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рсеткіштерге де,</w:t>
      </w:r>
    </w:p>
    <w:p w14:paraId="0C50BF35" w14:textId="5510E011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болашақта әлі де әзірлеуге тура келетін мамандандырылған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рсеткіштерге де</w:t>
      </w:r>
    </w:p>
    <w:p w14:paraId="29A1587E" w14:textId="6CF198B1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құрылады.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негізгі белгілерін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рсететін к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 жүйесі ғана емес,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оларды құрастыру және іс жүзінде пайдалану әдіснамасы да үлкен мәнге ие.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Қазіргі басқару механизмінде бұл оның ең әлсіз буыны болып табылады. Бұл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үдерістің барлық аспектілерінде дағдарысты тану әдіснамасы туралы с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 болып</w:t>
      </w:r>
      <w:r w:rsidR="00C30C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отыр: мақсаты,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рсеткіштері, оларды жағдайды талдауда пайдалану,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дағдарыстарды болжаудың практикалық құндылығы.</w:t>
      </w:r>
    </w:p>
    <w:p w14:paraId="2DCC918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 тану әдіснамасы осы жұмысты ұйымдастырумен, яғни</w:t>
      </w:r>
    </w:p>
    <w:p w14:paraId="1BF77A8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мамандардың болуымен, олардың қызметінің функцияларын анықтаумен,</w:t>
      </w:r>
    </w:p>
    <w:p w14:paraId="002547E5" w14:textId="247C15B8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ұсынымдар немесе шешімдер шығарумен, басқару жүйесіндегі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зара</w:t>
      </w:r>
    </w:p>
    <w:p w14:paraId="3143D96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әрекеттестікпен тығыз байланысты. Дағдарысқа қарсы менеджерлер деп</w:t>
      </w:r>
    </w:p>
    <w:p w14:paraId="12F853F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аталатындарды ғана емес, сондай-ақ осы қызметте мамандандырылған</w:t>
      </w:r>
    </w:p>
    <w:p w14:paraId="5BBAAD4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талдаушыларды да дайындау және олардың болуы болжанады.</w:t>
      </w:r>
    </w:p>
    <w:p w14:paraId="2397837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1.3. Экономикалық дағдарыстарды түсіндірудің ғылыми</w:t>
      </w:r>
    </w:p>
    <w:p w14:paraId="37187657" w14:textId="3923E1AC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концепциялары мен тарихы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К.Маркс бойынша, капиталистік экономика мен экономикалық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дағдарыстардың циклдық басты себебі –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ндірістің қоғамдық сипаты мен оның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нәтижелерін жеке беру арасындағы еңсерілмейтін қайшылықтар. Бұл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капитализм жағдайында дағдарыстарды жоюды қиындатады.</w:t>
      </w:r>
    </w:p>
    <w:p w14:paraId="4080CA4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себебі экономиканың дамуының тепе-теңсіздігі немесе</w:t>
      </w:r>
    </w:p>
    <w:p w14:paraId="27DD34D4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нарықтың «тепе-теңсіздігі» деп санайтын экономистер марксистік позицияға</w:t>
      </w:r>
    </w:p>
    <w:p w14:paraId="6C40687A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жақын. Дағдарыстар, олардың пікірінше, салалар арасында дұрыс</w:t>
      </w:r>
    </w:p>
    <w:p w14:paraId="7DF50AC0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пропорциялардың болмауынан, кәсіпкерлердің санасыз әрекеттерінен</w:t>
      </w:r>
    </w:p>
    <w:p w14:paraId="3CAA607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туындайды, ал бұл – жетілдірілмеген, кәсіби емес басқарудың салдары.</w:t>
      </w:r>
    </w:p>
    <w:p w14:paraId="6F435A5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теорияның неоклассикалық және либералды мектептерінің</w:t>
      </w:r>
    </w:p>
    <w:p w14:paraId="05ECD243" w14:textId="053866AF" w:rsidR="006E6E9B" w:rsidRPr="00C30CFE" w:rsidRDefault="00DA7990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E6E9B" w:rsidRPr="00C30CFE">
        <w:rPr>
          <w:rFonts w:ascii="Times New Roman" w:hAnsi="Times New Roman" w:cs="Times New Roman"/>
          <w:sz w:val="28"/>
          <w:szCs w:val="28"/>
          <w:lang w:val="kk-KZ"/>
        </w:rPr>
        <w:t>кілдері дағдарыстың бастауы мен себептерін капитализм табиғатымен</w:t>
      </w:r>
    </w:p>
    <w:p w14:paraId="694AF921" w14:textId="6D4109CA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байланыстырмайды. Олардың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пшілігі дағдарыстың себебі халықтың</w:t>
      </w:r>
    </w:p>
    <w:p w14:paraId="7C4447F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тұтынылмауы деп есептейді, бұл олардың пікірінше, дағдарысқа алып келетін</w:t>
      </w:r>
    </w:p>
    <w:p w14:paraId="6288EA66" w14:textId="74A09510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(Дж. Робинсон, сол жақ кейнсиандық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шбасшы). Дағдарыстардан "дәрі" -</w:t>
      </w:r>
    </w:p>
    <w:p w14:paraId="39954304" w14:textId="44E8012C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тұтынуды ынталандыру. Бірақ жеткіліксіз тұтыну, т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мен т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лем қабілеттілігі</w:t>
      </w:r>
    </w:p>
    <w:p w14:paraId="2E38C2E0" w14:textId="63CC67EB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дағдарыстың, факторлар мен олардың пайда болу белгілерінен г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 салдары</w:t>
      </w:r>
    </w:p>
    <w:p w14:paraId="5298DDB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</w:p>
    <w:p w14:paraId="4D7ECD9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Нарықтық еркіндіктің жақтаушысы және мемлекеттік араласуға қарсы</w:t>
      </w:r>
    </w:p>
    <w:p w14:paraId="14A1C2F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экономист Ф.Хайек, қайта ӛндіру дағдарыстары мемлекет тарапынан артық</w:t>
      </w:r>
    </w:p>
    <w:p w14:paraId="1CC2596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қаржыландырудан (арзан несиелер, сұранысты толтыру және т. б.) туындайды</w:t>
      </w:r>
    </w:p>
    <w:p w14:paraId="66EC70B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деп санайды.</w:t>
      </w:r>
    </w:p>
    <w:p w14:paraId="17AC6A4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психологиялық теориясы (Й. Шумпетер). Әрбір фазаға</w:t>
      </w:r>
    </w:p>
    <w:p w14:paraId="4C760B2C" w14:textId="508F17D9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инвестицияларға қатынасты қалыптастыратын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зінің психологиялық бейнесі</w:t>
      </w:r>
    </w:p>
    <w:p w14:paraId="6797679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тән. Дағдарыс жағдайының дүрбелеңі және тұрақсыздығы инвестициялардың</w:t>
      </w:r>
    </w:p>
    <w:p w14:paraId="366E903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тоқырауына әкеледі, қалпына келтіру жағдайындағы эйфория безгекті</w:t>
      </w:r>
    </w:p>
    <w:p w14:paraId="4AA008FD" w14:textId="179200E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ынталандырады. «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згеретін жағдайлар» инвестициялық циклдің біркелкі</w:t>
      </w:r>
    </w:p>
    <w:p w14:paraId="7885BEC7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еместігін құрайды.</w:t>
      </w:r>
    </w:p>
    <w:p w14:paraId="3DF4D59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циклдар мен дағдарыстардың себептерін түсіндіретін</w:t>
      </w:r>
    </w:p>
    <w:p w14:paraId="73EF29DA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теорияларды жалпылай отырып, экономист П. Самуэльсон ең маңыздысын</w:t>
      </w:r>
    </w:p>
    <w:p w14:paraId="3925765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атайды:</w:t>
      </w:r>
    </w:p>
    <w:p w14:paraId="6D3917C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банктік несиені кеңейту (қысқарту) циклін түсіндіретін ақша теориясы</w:t>
      </w:r>
    </w:p>
    <w:p w14:paraId="425328E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(Hawtry және басқалары);</w:t>
      </w:r>
    </w:p>
    <w:p w14:paraId="0B542113" w14:textId="0CAD729B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ндірістегі маңызды инновацияларды қолдана отырып циклді</w:t>
      </w:r>
    </w:p>
    <w:p w14:paraId="35858781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түсіндіретін инновациялар теориясы (Шумпетер, Хансен);</w:t>
      </w:r>
    </w:p>
    <w:p w14:paraId="5EAC4324" w14:textId="5D0BFCB0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циклді халықтың пессимистік және оптимистік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ңіл-күй толқындарының</w:t>
      </w:r>
    </w:p>
    <w:p w14:paraId="1198AFC5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салдары ретінде түсіндіретін психологиялық теория (Пигу, Бедггот т.б.);</w:t>
      </w:r>
    </w:p>
    <w:p w14:paraId="299BDD6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инклюзивті теория, циклдің себептерін бай және үнемді адамдар алатын</w:t>
      </w:r>
    </w:p>
    <w:p w14:paraId="5B8A75AA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кірістің үлесін инвестициялауға болатын қаражатпен салыстырғанда (Хобсон,</w:t>
      </w:r>
    </w:p>
    <w:p w14:paraId="69D0D724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Фостер, Котчингс және т.б.) салыстырады;</w:t>
      </w:r>
    </w:p>
    <w:p w14:paraId="0BDA7ED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артық инвестициялау теориясы (Хайек, Мизес және т.б.);</w:t>
      </w:r>
    </w:p>
    <w:p w14:paraId="58417E4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күн дақтарының теориясы - ауа-райы - дақылдар (Джеванс, Мур).</w:t>
      </w:r>
    </w:p>
    <w:p w14:paraId="6396917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Марксистік емес мектептер бастапқыда дәстүрлі нарықтық механизм</w:t>
      </w:r>
    </w:p>
    <w:p w14:paraId="22580928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аясындағы құбылыс ретінде циклді жеңу мүмкіндігін дәлелдеп, экономикалық</w:t>
      </w:r>
    </w:p>
    <w:p w14:paraId="26640578" w14:textId="396311CA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циклдердің с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зсіз болмауын жоққа шығарды. ХХ ғ. әлемдік экономиканың</w:t>
      </w:r>
    </w:p>
    <w:p w14:paraId="6632A070" w14:textId="46EF48C9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дамуы ұдайы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ндіру процесінің циклдылығына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зқарас тұрғысынан шектен</w:t>
      </w:r>
    </w:p>
    <w:p w14:paraId="3F41CC58" w14:textId="1E08503C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шығу дамудың шынайылығын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рсетпейтінін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рсетеді.</w:t>
      </w:r>
    </w:p>
    <w:p w14:paraId="5A4915C6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дамудың циклділігін түсіну және түсіндіру, оның</w:t>
      </w:r>
    </w:p>
    <w:p w14:paraId="40D5238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объективті себептерін тану әлеуметтік экономикалық болмыстың ӛзгеруімен</w:t>
      </w:r>
    </w:p>
    <w:p w14:paraId="4BC18ACD" w14:textId="11A48E4E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бірге уақыт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згерді. Ресей экономистері әдетте экономикалық циклдерге</w:t>
      </w:r>
    </w:p>
    <w:p w14:paraId="5AF6A540" w14:textId="133CB946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кӛзқарастың ӛзгеруінің үш кезеңін б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ліп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рсетеді.</w:t>
      </w:r>
    </w:p>
    <w:p w14:paraId="432E6CBB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Бірінші кезең – XVIII ғ.басынан бастап ХХ ғ. 30 ж. ортасына дейін бұл</w:t>
      </w:r>
    </w:p>
    <w:p w14:paraId="670E0BA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кезеңде экономикалық дағдарыстар немесе капиталдандыруда мүлдем мүмкін</w:t>
      </w:r>
    </w:p>
    <w:p w14:paraId="20E2486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емес деген сенімдер басым болды (Дж. Ол тек кездейсоқ сипатқа ие және еркін</w:t>
      </w:r>
    </w:p>
    <w:p w14:paraId="24009AD8" w14:textId="5B6876A8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бәсекелестік жүйесі оларды 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здігінен жеңе алады (к.Сисмонди, Р. Робертус, к.</w:t>
      </w:r>
    </w:p>
    <w:p w14:paraId="46411ADF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Каутский).</w:t>
      </w:r>
    </w:p>
    <w:p w14:paraId="4AB0C503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Бұл кезеңде Д. Кейнстің еңбектері кеңінен таралды және ең алдымен оның</w:t>
      </w:r>
    </w:p>
    <w:p w14:paraId="7A82E26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дағдарыстар (дәлірек айтқанда, депрессия, тоқырау)</w:t>
      </w:r>
    </w:p>
    <w:p w14:paraId="0A353D60" w14:textId="0D9FF2AF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классикалық капитализм жағдайында с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зсіз және оған тән нарық табиғатымен</w:t>
      </w:r>
    </w:p>
    <w:p w14:paraId="37805455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шарттасады. Кейнс Батыс экономисттерінің арасында бірінші болып</w:t>
      </w:r>
    </w:p>
    <w:p w14:paraId="51300D28" w14:textId="16019B00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капиталистік нарық монополизмнің әртүрлі к</w:t>
      </w:r>
      <w:r w:rsidR="00DA799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ріністерін қамтиды және</w:t>
      </w:r>
    </w:p>
    <w:p w14:paraId="3B758DED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мемлекеттік реттеумен үйлеседі, сондықтан баға мен жалақы икемді емес.</w:t>
      </w:r>
    </w:p>
    <w:p w14:paraId="27D2812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Кейнс дағдарыс пен жұмыссыздық проблемаларын тегістеудің принципті</w:t>
      </w:r>
    </w:p>
    <w:p w14:paraId="51B0CC7E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қажетті құралы тиімді жиынтық сұранысты ынталандыру мақсатында</w:t>
      </w:r>
    </w:p>
    <w:p w14:paraId="06A1E12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экономикаға мемлекеттік араласу деп санады. Циклдық факторды зерттеудегі</w:t>
      </w:r>
    </w:p>
    <w:p w14:paraId="0B46834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оның еңбектеріне, сондай-ақ ол әзірлеген мультипликатор теориясын</w:t>
      </w:r>
    </w:p>
    <w:p w14:paraId="2B274842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жатқызуға болады, ол кейіннен циклдік себептерін талдау кезінде кеңінен</w:t>
      </w:r>
    </w:p>
    <w:p w14:paraId="1D0BE36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қолданыла бастады.</w:t>
      </w:r>
    </w:p>
    <w:p w14:paraId="6C2058BC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Үшінші кезең – 60 жылдардың ортасынан бастап қазіргі уақытқа дейін. Бұл</w:t>
      </w:r>
    </w:p>
    <w:p w14:paraId="2FF90E79" w14:textId="77777777" w:rsidR="006E6E9B" w:rsidRPr="00C30CFE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кезеңде, біріншіден, нарықтық экономика циклінің экзогенді (ішкі) және</w:t>
      </w:r>
    </w:p>
    <w:p w14:paraId="7CCA1F4B" w14:textId="07DFC7F2" w:rsidR="001632AF" w:rsidRDefault="006E6E9B" w:rsidP="00C30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эндогенді (сыртқы) себептерінің ара жігін ажыратуға ерекше назар аударылды, бұл ретте артықшылық эндогендік факторларға берілді. Екіншіден, дамыған елдердің үкіметтері дағдарысқа қарсы реттеуге, циклдық ауытқуларды тегістеуге және экономикалық тепе-теңдікті тұрақтандыруға әрдайым ұмтылмайды деп сенген бірқатар мамандардың ұстанымы анықталды, ал көбінесе проценттік саясат жүргізеді, яғни циклділікті тудырады</w:t>
      </w:r>
    </w:p>
    <w:p w14:paraId="02D9196D" w14:textId="77777777" w:rsidR="00130573" w:rsidRDefault="00130573" w:rsidP="0013057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B22197" w14:textId="77777777" w:rsidR="00130573" w:rsidRPr="00130573" w:rsidRDefault="00130573" w:rsidP="00130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305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BBF627E" w14:textId="77777777" w:rsidR="00130573" w:rsidRPr="00130573" w:rsidRDefault="00130573" w:rsidP="001305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1305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130573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38323DF0" w14:textId="77777777" w:rsidR="00130573" w:rsidRPr="00130573" w:rsidRDefault="00130573" w:rsidP="0013057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057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A7EE292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0C6F8B1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1C3F8FAB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4D776637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789936AD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28D37DDD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54905A3B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1305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Алматы: Қазақ университеті, 2025.-472 б.</w:t>
      </w:r>
    </w:p>
    <w:bookmarkEnd w:id="0"/>
    <w:p w14:paraId="40E26632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4877610F" w14:textId="77777777" w:rsidR="00130573" w:rsidRPr="00130573" w:rsidRDefault="00130573" w:rsidP="00130573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26D34E93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37A13E1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 М.  Антикризисное управление – М.: Юрайт, 2025. -406 с</w:t>
      </w:r>
    </w:p>
    <w:p w14:paraId="4D59543D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– М</w:t>
      </w:r>
      <w:r w:rsidRPr="0013057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13057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3057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130573">
        <w:rPr>
          <w:rFonts w:ascii="Times New Roman" w:hAnsi="Times New Roman" w:cs="Times New Roman"/>
          <w:sz w:val="20"/>
          <w:szCs w:val="20"/>
        </w:rPr>
        <w:t>, 202</w:t>
      </w:r>
      <w:r w:rsidRPr="00130573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130573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77017628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E1EE01C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51884426" w14:textId="77777777" w:rsidR="00130573" w:rsidRPr="00130573" w:rsidRDefault="00130573" w:rsidP="0013057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13057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13057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13057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73AB458F" w14:textId="77777777" w:rsidR="00130573" w:rsidRPr="00130573" w:rsidRDefault="00130573" w:rsidP="0013057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0C988466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521C03DC" w14:textId="77777777" w:rsidR="00130573" w:rsidRPr="00130573" w:rsidRDefault="00130573" w:rsidP="00130573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7CD01B7" w14:textId="77777777" w:rsidR="00130573" w:rsidRPr="00130573" w:rsidRDefault="00130573" w:rsidP="0013057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2EC78773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Ряховская А.Н.,  Кован С.Е., Акулова Н.Г. и др. Антикризисное управление: теория и практика-М.: КноРус, 2025.- 378 с.</w:t>
      </w:r>
    </w:p>
    <w:p w14:paraId="37A40292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2A0372EE" w14:textId="77777777" w:rsidR="00130573" w:rsidRPr="00130573" w:rsidRDefault="00130573" w:rsidP="00130573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  <w:r w:rsidRPr="0013057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13057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13057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615CF0C5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458DAD60" w14:textId="77777777" w:rsidR="00130573" w:rsidRPr="00130573" w:rsidRDefault="00130573" w:rsidP="001305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74126B8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97761CC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3EF99BE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9E9BE34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732A2DD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9EC730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24C3A2D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160C3F7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84A98A0" w14:textId="77777777" w:rsidR="00130573" w:rsidRPr="00130573" w:rsidRDefault="00130573" w:rsidP="0013057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0CDE6F4" w14:textId="77777777" w:rsidR="00130573" w:rsidRPr="00130573" w:rsidRDefault="00130573" w:rsidP="001305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1305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130573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1305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7621D449" w14:textId="77777777" w:rsidR="00130573" w:rsidRPr="00130573" w:rsidRDefault="00130573" w:rsidP="0013057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130573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13057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0AD9F6D3" w14:textId="77777777" w:rsidR="00130573" w:rsidRPr="00130573" w:rsidRDefault="00130573" w:rsidP="0013057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130573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66DEB6DF" w14:textId="77777777" w:rsidR="00130573" w:rsidRPr="00130573" w:rsidRDefault="00130573" w:rsidP="0013057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130573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130573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091A6806" w14:textId="77777777" w:rsidR="00130573" w:rsidRPr="00130573" w:rsidRDefault="00130573" w:rsidP="00130573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573">
        <w:rPr>
          <w:rFonts w:ascii="Times New Roman" w:hAnsi="Times New Roman" w:cs="Times New Roman"/>
          <w:sz w:val="20"/>
          <w:szCs w:val="20"/>
          <w:lang w:val="kk-KZ"/>
        </w:rPr>
        <w:t>5. URL: https://urait.ru/bcode/559685</w:t>
      </w:r>
    </w:p>
    <w:p w14:paraId="55156DF1" w14:textId="77777777" w:rsidR="00130573" w:rsidRPr="00130573" w:rsidRDefault="00130573" w:rsidP="00130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227A67F" w14:textId="77777777" w:rsidR="00130573" w:rsidRPr="00130573" w:rsidRDefault="00130573" w:rsidP="001305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3057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62B17DA" w14:textId="77777777" w:rsidR="00130573" w:rsidRPr="00130573" w:rsidRDefault="00130573" w:rsidP="001305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1305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E3EC523" w14:textId="77777777" w:rsidR="00130573" w:rsidRPr="00130573" w:rsidRDefault="00130573" w:rsidP="00130573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1305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71795271" w14:textId="391D995F" w:rsidR="00130573" w:rsidRPr="00130573" w:rsidRDefault="00130573" w:rsidP="00130573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130573" w:rsidRPr="0013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80D"/>
    <w:multiLevelType w:val="hybridMultilevel"/>
    <w:tmpl w:val="1A30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980230532">
    <w:abstractNumId w:val="0"/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13"/>
    <w:rsid w:val="00130573"/>
    <w:rsid w:val="001632AF"/>
    <w:rsid w:val="001E5E13"/>
    <w:rsid w:val="00310446"/>
    <w:rsid w:val="003E6D87"/>
    <w:rsid w:val="003F31B9"/>
    <w:rsid w:val="006E6E9B"/>
    <w:rsid w:val="00C30CFE"/>
    <w:rsid w:val="00DA7990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981D"/>
  <w15:chartTrackingRefBased/>
  <w15:docId w15:val="{D06DE09E-20F9-4DD2-8A16-7A23C51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E9B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E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2025-07-29T13:24:00Z</dcterms:created>
  <dcterms:modified xsi:type="dcterms:W3CDTF">2025-07-30T05:04:00Z</dcterms:modified>
</cp:coreProperties>
</file>